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457C1E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0689DAC5" wp14:editId="719A5F47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1E" w:rsidRDefault="00457C1E">
      <w:pPr>
        <w:rPr>
          <w:rStyle w:val="subheading1"/>
          <w:color w:val="auto"/>
        </w:rPr>
      </w:pPr>
      <w:proofErr w:type="gramStart"/>
      <w:r w:rsidRPr="009C7AA1">
        <w:rPr>
          <w:rStyle w:val="heading10"/>
          <w:color w:val="auto"/>
          <w:sz w:val="48"/>
          <w:szCs w:val="48"/>
        </w:rPr>
        <w:t>#3 Information</w:t>
      </w:r>
      <w:proofErr w:type="gramEnd"/>
      <w:r w:rsidRPr="009C7AA1">
        <w:rPr>
          <w:rStyle w:val="heading10"/>
          <w:color w:val="auto"/>
          <w:sz w:val="48"/>
          <w:szCs w:val="48"/>
        </w:rPr>
        <w:t xml:space="preserve"> and Data Privacy</w:t>
      </w:r>
    </w:p>
    <w:p w:rsidR="00017C2F" w:rsidRDefault="00017C2F" w:rsidP="00017C2F">
      <w:pPr>
        <w:pStyle w:val="Heading1"/>
        <w:spacing w:before="0" w:beforeAutospacing="0" w:after="0" w:afterAutospacing="0"/>
      </w:pPr>
      <w:r>
        <w:t>Ethics opinions</w:t>
      </w:r>
    </w:p>
    <w:p w:rsidR="00017C2F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Rule 1.16, Confidentiality of Information, Revised Rules of Professional Conduct, Reasonable precautions and expectation of privacy, Comment 18</w:t>
      </w:r>
    </w:p>
    <w:p w:rsidR="00017C2F" w:rsidRPr="00B219DC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Using outside software vendors, including banks, 2011 FEO 6 and 2011 FEO 7</w:t>
      </w:r>
    </w:p>
    <w:p w:rsidR="00017C2F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Recycling, RPC133</w:t>
      </w:r>
    </w:p>
    <w:p w:rsidR="00017C2F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Disposal of client files, RPC 209</w:t>
      </w:r>
    </w:p>
    <w:p w:rsidR="00017C2F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Email, RPC215, 2009 FEO 1</w:t>
      </w:r>
    </w:p>
    <w:p w:rsidR="00017C2F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Cellphone, RPC 215</w:t>
      </w:r>
    </w:p>
    <w:p w:rsidR="00017C2F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Website /internet storage, 2008 FEO 5</w:t>
      </w:r>
    </w:p>
    <w:p w:rsidR="00017C2F" w:rsidRDefault="00017C2F" w:rsidP="00017C2F">
      <w:pPr>
        <w:pStyle w:val="Heading1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Software as a service 2011 FEO 6</w:t>
      </w:r>
    </w:p>
    <w:p w:rsidR="00017C2F" w:rsidRDefault="00017C2F" w:rsidP="00017C2F">
      <w:pPr>
        <w:pStyle w:val="Heading1"/>
        <w:spacing w:before="0" w:beforeAutospacing="0" w:after="0" w:afterAutospacing="0"/>
      </w:pPr>
      <w:r w:rsidRPr="00E06E94">
        <w:t>Resources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r w:rsidRPr="00017C2F">
        <w:t xml:space="preserve">North Carolina State Bar </w:t>
      </w:r>
      <w:hyperlink r:id="rId7" w:history="1">
        <w:r w:rsidRPr="00017C2F">
          <w:rPr>
            <w:rStyle w:val="Hyperlink"/>
          </w:rPr>
          <w:t>www.ncbar.gov</w:t>
        </w:r>
      </w:hyperlink>
      <w:r w:rsidRPr="00017C2F">
        <w:t xml:space="preserve"> </w:t>
      </w:r>
      <w:r w:rsidRPr="00017C2F">
        <w:sym w:font="Wingdings" w:char="F0E0"/>
      </w:r>
      <w:r w:rsidRPr="00017C2F">
        <w:t xml:space="preserve"> Ethics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8" w:history="1">
        <w:r w:rsidRPr="00017C2F">
          <w:rPr>
            <w:rStyle w:val="Hyperlink"/>
          </w:rPr>
          <w:t>“How To Comply with the Privacy of Consumer Financial Information Rule of the Gramm-Leach-Bliley Act”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9" w:history="1">
        <w:r w:rsidRPr="00017C2F">
          <w:rPr>
            <w:rStyle w:val="Hyperlink"/>
          </w:rPr>
          <w:t>Federal Trade Commission Data Security Best Practices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10" w:history="1">
        <w:r w:rsidRPr="00017C2F">
          <w:rPr>
            <w:rStyle w:val="Hyperlink"/>
          </w:rPr>
          <w:t>FTC Guidance on Privacy and Security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  <w:rPr>
          <w:rStyle w:val="Hyperlink"/>
          <w:color w:val="auto"/>
        </w:rPr>
      </w:pPr>
      <w:hyperlink r:id="rId11" w:history="1">
        <w:r w:rsidRPr="00017C2F">
          <w:rPr>
            <w:rStyle w:val="Hyperlink"/>
          </w:rPr>
          <w:t>FCC Small Business Cyber Planner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12" w:history="1">
        <w:r w:rsidRPr="00017C2F">
          <w:rPr>
            <w:rStyle w:val="Hyperlink"/>
            <w:lang w:val="en"/>
          </w:rPr>
          <w:t>Financial Institutions and Customer Information: Complying with the Safeguards Rule</w:t>
        </w:r>
      </w:hyperlink>
      <w:r w:rsidRPr="00017C2F">
        <w:rPr>
          <w:color w:val="090909"/>
          <w:lang w:val="en"/>
        </w:rPr>
        <w:t xml:space="preserve"> 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13" w:history="1">
        <w:r w:rsidRPr="00017C2F">
          <w:rPr>
            <w:rStyle w:val="Hyperlink"/>
            <w:lang w:val="en"/>
          </w:rPr>
          <w:t>Security Check: Reducing Risks to Your Computer Systems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14" w:history="1">
        <w:r w:rsidRPr="00017C2F">
          <w:rPr>
            <w:rStyle w:val="Hyperlink"/>
            <w:lang w:val="en"/>
          </w:rPr>
          <w:t>Securing Your Server: Shut the Door on Spam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r w:rsidRPr="00017C2F">
        <w:t xml:space="preserve">General discussion on data security – whitepapers, trade associations, conferences:  </w:t>
      </w:r>
      <w:hyperlink r:id="rId15" w:history="1">
        <w:r w:rsidRPr="00017C2F">
          <w:rPr>
            <w:rStyle w:val="Hyperlink"/>
          </w:rPr>
          <w:t>www.cpdpconferences.org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 w:themeFill="background1"/>
        <w:spacing w:before="0" w:after="0"/>
        <w:rPr>
          <w:rStyle w:val="Hyperlink"/>
          <w:rFonts w:eastAsia="Calibri"/>
        </w:rPr>
      </w:pPr>
      <w:r w:rsidRPr="00017C2F">
        <w:t>Gramm-Leach-Bliley privacy information</w:t>
      </w:r>
      <w:r>
        <w:t xml:space="preserve">, </w:t>
      </w:r>
      <w:hyperlink r:id="rId16" w:history="1">
        <w:r w:rsidRPr="00017C2F">
          <w:rPr>
            <w:rStyle w:val="Hyperlink"/>
            <w:rFonts w:eastAsia="Calibri"/>
          </w:rPr>
          <w:t>http://ftc.gov/privacy/privacyinitiatives/PrivacyModelForm_FR.pdf</w:t>
        </w:r>
      </w:hyperlink>
    </w:p>
    <w:p w:rsidR="00017C2F" w:rsidRPr="00017C2F" w:rsidRDefault="00017C2F" w:rsidP="00017C2F">
      <w:pPr>
        <w:spacing w:after="0" w:line="240" w:lineRule="auto"/>
        <w:ind w:left="360"/>
        <w:rPr>
          <w:sz w:val="20"/>
          <w:szCs w:val="20"/>
        </w:rPr>
      </w:pPr>
      <w:hyperlink r:id="rId17" w:history="1">
        <w:r w:rsidRPr="00017C2F">
          <w:rPr>
            <w:rStyle w:val="Hyperlink"/>
            <w:sz w:val="20"/>
            <w:szCs w:val="20"/>
          </w:rPr>
          <w:t>www.ecfr.gov</w:t>
        </w:r>
      </w:hyperlink>
      <w:r w:rsidRPr="00017C2F">
        <w:rPr>
          <w:rStyle w:val="Hyperlink"/>
          <w:rFonts w:eastAsia="Calibri"/>
          <w:color w:val="0D0D0D" w:themeColor="text1" w:themeTint="F2"/>
          <w:sz w:val="20"/>
          <w:szCs w:val="20"/>
        </w:rPr>
        <w:t xml:space="preserve">, Title 16: Commercial Practices, Part 313, Privacy, 15 U.S.C. 6801 </w:t>
      </w:r>
      <w:r w:rsidRPr="00017C2F">
        <w:rPr>
          <w:rStyle w:val="Hyperlink"/>
          <w:rFonts w:eastAsia="Calibri"/>
          <w:i/>
          <w:color w:val="0D0D0D" w:themeColor="text1" w:themeTint="F2"/>
          <w:sz w:val="20"/>
          <w:szCs w:val="20"/>
        </w:rPr>
        <w:t>et seq.</w:t>
      </w:r>
      <w:r w:rsidRPr="00017C2F">
        <w:rPr>
          <w:rStyle w:val="Hyperlink"/>
          <w:rFonts w:eastAsia="Calibri"/>
          <w:color w:val="0D0D0D" w:themeColor="text1" w:themeTint="F2"/>
          <w:sz w:val="20"/>
          <w:szCs w:val="20"/>
        </w:rPr>
        <w:t>, 65 FR 33677, May 24, 2000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 w:themeFill="background1"/>
        <w:spacing w:before="0" w:after="0"/>
        <w:rPr>
          <w:b/>
        </w:rPr>
      </w:pPr>
      <w:hyperlink r:id="rId18" w:anchor="ft1" w:history="1">
        <w:r w:rsidRPr="00017C2F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OCC Bulletin 2013-29, Risk Management Guidance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 w:themeFill="background1"/>
        <w:spacing w:before="0" w:after="0"/>
      </w:pPr>
      <w:r w:rsidRPr="00017C2F">
        <w:rPr>
          <w:rFonts w:asciiTheme="minorHAnsi" w:hAnsiTheme="minorHAnsi" w:cstheme="minorHAnsi"/>
          <w:color w:val="616161"/>
        </w:rPr>
        <w:t>Federal Reserve Board “</w:t>
      </w:r>
      <w:hyperlink r:id="rId19" w:history="1">
        <w:r w:rsidRPr="00017C2F">
          <w:rPr>
            <w:rStyle w:val="Hyperlink"/>
            <w:rFonts w:asciiTheme="minorHAnsi" w:hAnsiTheme="minorHAnsi" w:cstheme="minorHAnsi"/>
          </w:rPr>
          <w:t>Guidance on Managing Outsourcing Risk</w:t>
        </w:r>
      </w:hyperlink>
      <w:r w:rsidRPr="00017C2F">
        <w:rPr>
          <w:rFonts w:asciiTheme="minorHAnsi" w:hAnsiTheme="minorHAnsi" w:cstheme="minorHAnsi"/>
          <w:color w:val="616161"/>
        </w:rPr>
        <w:t>”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 w:themeFill="background1"/>
        <w:spacing w:before="0" w:after="0"/>
      </w:pPr>
      <w:hyperlink r:id="rId20" w:history="1">
        <w:r w:rsidRPr="00017C2F">
          <w:rPr>
            <w:rStyle w:val="Hyperlink"/>
          </w:rPr>
          <w:t xml:space="preserve">The </w:t>
        </w:r>
        <w:proofErr w:type="spellStart"/>
        <w:r w:rsidRPr="00017C2F">
          <w:rPr>
            <w:rStyle w:val="Hyperlink"/>
          </w:rPr>
          <w:t>Treiber</w:t>
        </w:r>
        <w:proofErr w:type="spellEnd"/>
        <w:r w:rsidRPr="00017C2F">
          <w:rPr>
            <w:rStyle w:val="Hyperlink"/>
          </w:rPr>
          <w:t xml:space="preserve"> Group</w:t>
        </w:r>
      </w:hyperlink>
      <w:r w:rsidRPr="00017C2F">
        <w:rPr>
          <w:rStyle w:val="Hyperlink"/>
        </w:rPr>
        <w:t>,</w:t>
      </w:r>
      <w:r w:rsidRPr="00017C2F">
        <w:t xml:space="preserve"> Cyber Security Insurance 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21" w:history="1">
        <w:r w:rsidRPr="00017C2F">
          <w:rPr>
            <w:rStyle w:val="Hyperlink"/>
          </w:rPr>
          <w:t>Real Estate Data Shield</w:t>
        </w:r>
      </w:hyperlink>
      <w:r w:rsidRPr="00017C2F">
        <w:t xml:space="preserve">, </w:t>
      </w:r>
      <w:r w:rsidRPr="00017C2F">
        <w:rPr>
          <w:lang w:val="en-GB"/>
        </w:rPr>
        <w:t xml:space="preserve">271 Madison Ave, New York, NY 10016, 212.951.7302, </w:t>
      </w:r>
      <w:hyperlink r:id="rId22" w:history="1">
        <w:r w:rsidRPr="00017C2F">
          <w:rPr>
            <w:rStyle w:val="Hyperlink"/>
            <w:lang w:val="en-GB"/>
          </w:rPr>
          <w:t>https://realestatedatashield.com/</w:t>
        </w:r>
      </w:hyperlink>
      <w:r w:rsidRPr="00017C2F">
        <w:rPr>
          <w:lang w:val="en-GB"/>
        </w:rPr>
        <w:t xml:space="preserve"> 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23" w:history="1">
        <w:r w:rsidRPr="00017C2F">
          <w:rPr>
            <w:rStyle w:val="Hyperlink"/>
          </w:rPr>
          <w:t>LexisNexis/First Advantage</w:t>
        </w:r>
      </w:hyperlink>
      <w:r w:rsidRPr="00017C2F">
        <w:rPr>
          <w:bCs/>
          <w:color w:val="000000"/>
        </w:rPr>
        <w:t xml:space="preserve"> </w:t>
      </w:r>
      <w:r w:rsidRPr="00017C2F">
        <w:t>employment background checks and screening services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</w:pPr>
      <w:hyperlink r:id="rId24" w:history="1">
        <w:r w:rsidRPr="00017C2F">
          <w:rPr>
            <w:rStyle w:val="Hyperlink"/>
          </w:rPr>
          <w:t>uFax</w:t>
        </w:r>
      </w:hyperlink>
      <w:r w:rsidRPr="00017C2F">
        <w:t xml:space="preserve">, fax to voicemail in the cloud, </w:t>
      </w:r>
      <w:hyperlink r:id="rId25" w:history="1">
        <w:r w:rsidRPr="00017C2F">
          <w:rPr>
            <w:rStyle w:val="Hyperlink"/>
          </w:rPr>
          <w:t>uReach</w:t>
        </w:r>
      </w:hyperlink>
      <w:r w:rsidRPr="00017C2F">
        <w:t xml:space="preserve">, visual voicemail, </w:t>
      </w:r>
      <w:hyperlink r:id="rId26" w:history="1">
        <w:r w:rsidRPr="00910206">
          <w:rPr>
            <w:rStyle w:val="Hyperlink"/>
          </w:rPr>
          <w:t>http://www.ureach.com/</w:t>
        </w:r>
      </w:hyperlink>
      <w:r>
        <w:t xml:space="preserve"> </w:t>
      </w:r>
      <w:r w:rsidRPr="00017C2F">
        <w:br/>
        <w:t>Holmdel Corporate Plaza</w:t>
      </w:r>
      <w:r>
        <w:t xml:space="preserve">, </w:t>
      </w:r>
      <w:r w:rsidRPr="00017C2F">
        <w:t>2137 State Highway 35 &amp; Union Avenue</w:t>
      </w:r>
      <w:r>
        <w:t xml:space="preserve">, </w:t>
      </w:r>
      <w:r w:rsidRPr="00017C2F">
        <w:t xml:space="preserve">Holmdel, NJ 07733, 877-717-8732, 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 w:themeFill="background1"/>
        <w:spacing w:before="0" w:after="0"/>
        <w:jc w:val="both"/>
      </w:pPr>
      <w:hyperlink r:id="rId27" w:history="1">
        <w:proofErr w:type="spellStart"/>
        <w:r w:rsidRPr="00017C2F">
          <w:rPr>
            <w:rStyle w:val="Hyperlink"/>
          </w:rPr>
          <w:t>DataMotion</w:t>
        </w:r>
        <w:proofErr w:type="spellEnd"/>
        <w:r w:rsidRPr="00017C2F">
          <w:rPr>
            <w:rStyle w:val="Hyperlink"/>
          </w:rPr>
          <w:t xml:space="preserve"> </w:t>
        </w:r>
        <w:proofErr w:type="spellStart"/>
        <w:r w:rsidRPr="00017C2F">
          <w:rPr>
            <w:rStyle w:val="Hyperlink"/>
          </w:rPr>
          <w:t>SecureMail</w:t>
        </w:r>
        <w:proofErr w:type="spellEnd"/>
      </w:hyperlink>
      <w:r w:rsidRPr="00017C2F">
        <w:t xml:space="preserve"> Encrypted email</w:t>
      </w:r>
      <w:r>
        <w:t xml:space="preserve">, </w:t>
      </w:r>
      <w:r w:rsidRPr="00017C2F">
        <w:t>35 Airport Road, Suite 1210, Morristown NJ 07960</w:t>
      </w:r>
    </w:p>
    <w:p w:rsidR="00017C2F" w:rsidRPr="00017C2F" w:rsidRDefault="00017C2F" w:rsidP="00017C2F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17C2F">
        <w:rPr>
          <w:rFonts w:ascii="Times New Roman" w:hAnsi="Times New Roman" w:cs="Times New Roman"/>
          <w:sz w:val="20"/>
          <w:szCs w:val="20"/>
        </w:rPr>
        <w:t>1-800-672-7233 or 1-973-455-1245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 w:themeFill="background1"/>
        <w:spacing w:before="0" w:after="0"/>
        <w:jc w:val="both"/>
      </w:pPr>
      <w:r w:rsidRPr="00017C2F">
        <w:t xml:space="preserve">Commercial national companies – </w:t>
      </w:r>
    </w:p>
    <w:p w:rsidR="00017C2F" w:rsidRPr="00017C2F" w:rsidRDefault="00017C2F" w:rsidP="00017C2F">
      <w:pPr>
        <w:pStyle w:val="ListParagraph"/>
        <w:numPr>
          <w:ilvl w:val="1"/>
          <w:numId w:val="2"/>
        </w:numPr>
        <w:shd w:val="clear" w:color="auto" w:fill="FFFFFF" w:themeFill="background1"/>
        <w:spacing w:before="0" w:after="0"/>
        <w:rPr>
          <w:rStyle w:val="Hyperlink"/>
        </w:rPr>
      </w:pPr>
      <w:hyperlink r:id="rId28" w:history="1">
        <w:r w:rsidRPr="00017C2F">
          <w:rPr>
            <w:rStyle w:val="Hyperlink"/>
          </w:rPr>
          <w:t>Iron Mountain</w:t>
        </w:r>
      </w:hyperlink>
    </w:p>
    <w:p w:rsidR="00017C2F" w:rsidRPr="00017C2F" w:rsidRDefault="00017C2F" w:rsidP="00017C2F">
      <w:pPr>
        <w:pStyle w:val="ListParagraph"/>
        <w:numPr>
          <w:ilvl w:val="1"/>
          <w:numId w:val="2"/>
        </w:numPr>
        <w:shd w:val="clear" w:color="auto" w:fill="FFFFFF" w:themeFill="background1"/>
        <w:spacing w:before="0" w:after="0"/>
        <w:rPr>
          <w:rStyle w:val="Hyperlink"/>
        </w:rPr>
      </w:pPr>
      <w:r w:rsidRPr="00017C2F">
        <w:fldChar w:fldCharType="begin"/>
      </w:r>
      <w:r w:rsidRPr="00017C2F">
        <w:instrText xml:space="preserve"> HYPERLINK "http://www.ibm.com/us/en/" </w:instrText>
      </w:r>
      <w:r w:rsidRPr="00017C2F">
        <w:fldChar w:fldCharType="separate"/>
      </w:r>
      <w:r w:rsidRPr="00017C2F">
        <w:rPr>
          <w:rStyle w:val="Hyperlink"/>
        </w:rPr>
        <w:t xml:space="preserve">IBM – Data Privacy &amp; Security  </w:t>
      </w:r>
    </w:p>
    <w:p w:rsidR="00017C2F" w:rsidRPr="00017C2F" w:rsidRDefault="00017C2F" w:rsidP="00017C2F">
      <w:pPr>
        <w:pStyle w:val="ListParagraph"/>
        <w:numPr>
          <w:ilvl w:val="1"/>
          <w:numId w:val="2"/>
        </w:numPr>
        <w:shd w:val="clear" w:color="auto" w:fill="FFFFFF" w:themeFill="background1"/>
        <w:spacing w:before="0" w:after="0"/>
        <w:rPr>
          <w:rStyle w:val="Hyperlink"/>
        </w:rPr>
      </w:pPr>
      <w:r w:rsidRPr="00017C2F">
        <w:fldChar w:fldCharType="end"/>
      </w:r>
      <w:hyperlink r:id="rId29" w:history="1">
        <w:r w:rsidRPr="00017C2F">
          <w:rPr>
            <w:rStyle w:val="Hyperlink"/>
          </w:rPr>
          <w:t>HP</w:t>
        </w:r>
      </w:hyperlink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 w:themeFill="background1"/>
        <w:spacing w:before="0" w:after="0"/>
        <w:rPr>
          <w:color w:val="0000FF"/>
          <w:u w:val="single"/>
        </w:rPr>
      </w:pPr>
      <w:r w:rsidRPr="00017C2F">
        <w:t xml:space="preserve">Business continuity – </w:t>
      </w:r>
    </w:p>
    <w:p w:rsidR="00017C2F" w:rsidRPr="00017C2F" w:rsidRDefault="00017C2F" w:rsidP="00017C2F">
      <w:pPr>
        <w:pStyle w:val="ListParagraph"/>
        <w:numPr>
          <w:ilvl w:val="1"/>
          <w:numId w:val="2"/>
        </w:numPr>
        <w:shd w:val="clear" w:color="auto" w:fill="FFFFFF" w:themeFill="background1"/>
        <w:spacing w:before="0" w:after="0"/>
        <w:rPr>
          <w:color w:val="0000FF"/>
          <w:u w:val="single"/>
        </w:rPr>
      </w:pPr>
      <w:r w:rsidRPr="00017C2F">
        <w:t xml:space="preserve">Introductory </w:t>
      </w:r>
      <w:proofErr w:type="spellStart"/>
      <w:r w:rsidRPr="00017C2F">
        <w:t>Powerpoint</w:t>
      </w:r>
      <w:proofErr w:type="spellEnd"/>
      <w:r w:rsidRPr="00017C2F">
        <w:t xml:space="preserve"> </w:t>
      </w:r>
      <w:hyperlink r:id="rId30" w:history="1">
        <w:r w:rsidRPr="00017C2F">
          <w:rPr>
            <w:rStyle w:val="Hyperlink"/>
          </w:rPr>
          <w:t>www.valuecontinuity.com</w:t>
        </w:r>
      </w:hyperlink>
      <w:r w:rsidRPr="00017C2F">
        <w:rPr>
          <w:color w:val="000000" w:themeColor="text1"/>
        </w:rPr>
        <w:t xml:space="preserve"> </w:t>
      </w:r>
    </w:p>
    <w:p w:rsidR="00017C2F" w:rsidRPr="00017C2F" w:rsidRDefault="00017C2F" w:rsidP="00017C2F">
      <w:pPr>
        <w:pStyle w:val="ListParagraph"/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0"/>
        <w:rPr>
          <w:lang w:eastAsia="en-GB"/>
        </w:rPr>
      </w:pPr>
      <w:r w:rsidRPr="00017C2F">
        <w:t>Policy templates – Data Security</w:t>
      </w:r>
      <w:r w:rsidRPr="00017C2F">
        <w:rPr>
          <w:rStyle w:val="Hyperlink"/>
        </w:rPr>
        <w:t xml:space="preserve">  - </w:t>
      </w:r>
      <w:hyperlink r:id="rId31" w:history="1">
        <w:r w:rsidRPr="00017C2F">
          <w:rPr>
            <w:rStyle w:val="Hyperlink"/>
          </w:rPr>
          <w:t>www.altiusIT.com</w:t>
        </w:r>
      </w:hyperlink>
      <w:r w:rsidRPr="00017C2F">
        <w:rPr>
          <w:b/>
          <w:lang w:eastAsia="en-GB"/>
        </w:rPr>
        <w:t xml:space="preserve"> </w:t>
      </w:r>
      <w:r w:rsidRPr="00017C2F">
        <w:rPr>
          <w:lang w:eastAsia="en-GB"/>
        </w:rPr>
        <w:t>(see Sample Policy Structure)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cs="Segoe UI"/>
        </w:rPr>
      </w:pPr>
      <w:hyperlink r:id="rId32" w:history="1">
        <w:proofErr w:type="spellStart"/>
        <w:r w:rsidRPr="00017C2F">
          <w:rPr>
            <w:rStyle w:val="Hyperlink"/>
          </w:rPr>
          <w:t>ECPurchasing</w:t>
        </w:r>
        <w:proofErr w:type="spellEnd"/>
      </w:hyperlink>
      <w:r w:rsidRPr="00017C2F">
        <w:rPr>
          <w:color w:val="1F497D"/>
        </w:rPr>
        <w:t xml:space="preserve">, </w:t>
      </w:r>
      <w:r w:rsidRPr="00017C2F">
        <w:rPr>
          <w:color w:val="000000"/>
        </w:rPr>
        <w:t xml:space="preserve">601 Riverside Avenue, </w:t>
      </w:r>
      <w:proofErr w:type="spellStart"/>
      <w:r w:rsidRPr="00017C2F">
        <w:rPr>
          <w:color w:val="000000"/>
        </w:rPr>
        <w:t>Bldg</w:t>
      </w:r>
      <w:proofErr w:type="spellEnd"/>
      <w:r w:rsidRPr="00017C2F">
        <w:rPr>
          <w:color w:val="000000"/>
        </w:rPr>
        <w:t xml:space="preserve"> 5. 1st Floor, Jacksonville, FL 32223 | 888.387.0223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/>
        <w:spacing w:before="0" w:after="0"/>
        <w:rPr>
          <w:color w:val="616161"/>
        </w:rPr>
      </w:pPr>
      <w:hyperlink r:id="rId33" w:history="1">
        <w:r w:rsidRPr="00017C2F">
          <w:rPr>
            <w:rStyle w:val="Hyperlink"/>
          </w:rPr>
          <w:t>Voltage Security, Inc</w:t>
        </w:r>
      </w:hyperlink>
      <w:r w:rsidRPr="00017C2F">
        <w:rPr>
          <w:color w:val="000000"/>
        </w:rPr>
        <w:t>. email encryption</w:t>
      </w:r>
      <w:r w:rsidRPr="00017C2F">
        <w:rPr>
          <w:color w:val="616161"/>
        </w:rPr>
        <w:t xml:space="preserve"> </w:t>
      </w:r>
      <w:r w:rsidRPr="00017C2F">
        <w:rPr>
          <w:color w:val="616161"/>
        </w:rPr>
        <w:t xml:space="preserve">, </w:t>
      </w:r>
      <w:r w:rsidRPr="00017C2F">
        <w:rPr>
          <w:color w:val="616161"/>
        </w:rPr>
        <w:t xml:space="preserve">20400 Stevens Creek Boulevard, </w:t>
      </w:r>
      <w:proofErr w:type="spellStart"/>
      <w:r w:rsidRPr="00017C2F">
        <w:rPr>
          <w:color w:val="616161"/>
        </w:rPr>
        <w:t>Ste</w:t>
      </w:r>
      <w:proofErr w:type="spellEnd"/>
      <w:r w:rsidRPr="00017C2F">
        <w:rPr>
          <w:color w:val="616161"/>
        </w:rPr>
        <w:t xml:space="preserve"> 500, Cupertino, CA 95014 (408) 886-3200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pacing w:before="0" w:after="0"/>
        <w:contextualSpacing w:val="0"/>
        <w:rPr>
          <w:rFonts w:cs="Segoe UI"/>
        </w:rPr>
      </w:pPr>
      <w:hyperlink r:id="rId34" w:history="1">
        <w:r w:rsidRPr="00017C2F">
          <w:rPr>
            <w:rStyle w:val="Hyperlink"/>
            <w:rFonts w:cs="Segoe UI"/>
          </w:rPr>
          <w:t>McAfee</w:t>
        </w:r>
      </w:hyperlink>
      <w:r w:rsidRPr="00017C2F">
        <w:rPr>
          <w:rFonts w:cs="Segoe UI"/>
        </w:rPr>
        <w:t xml:space="preserve"> Security 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/>
        <w:spacing w:before="0" w:after="0"/>
        <w:contextualSpacing w:val="0"/>
        <w:rPr>
          <w:color w:val="616161"/>
        </w:rPr>
      </w:pPr>
      <w:hyperlink r:id="rId35" w:history="1">
        <w:r w:rsidRPr="00017C2F">
          <w:rPr>
            <w:rStyle w:val="Hyperlink"/>
            <w:rFonts w:cs="Segoe UI"/>
          </w:rPr>
          <w:t>Norton</w:t>
        </w:r>
      </w:hyperlink>
      <w:r w:rsidRPr="00017C2F">
        <w:rPr>
          <w:rFonts w:cs="Segoe UI"/>
        </w:rPr>
        <w:t xml:space="preserve"> Antivirus </w:t>
      </w:r>
    </w:p>
    <w:p w:rsidR="00017C2F" w:rsidRPr="00017C2F" w:rsidRDefault="00017C2F" w:rsidP="00017C2F">
      <w:pPr>
        <w:pStyle w:val="ListParagraph"/>
        <w:numPr>
          <w:ilvl w:val="0"/>
          <w:numId w:val="2"/>
        </w:numPr>
        <w:shd w:val="clear" w:color="auto" w:fill="FFFFFF"/>
        <w:spacing w:before="0" w:after="0"/>
        <w:contextualSpacing w:val="0"/>
        <w:rPr>
          <w:rStyle w:val="subheading1"/>
          <w:color w:val="auto"/>
        </w:rPr>
      </w:pPr>
      <w:hyperlink r:id="rId36" w:history="1">
        <w:r w:rsidRPr="00017C2F">
          <w:rPr>
            <w:rStyle w:val="Hyperlink"/>
            <w:rFonts w:cs="Segoe UI"/>
          </w:rPr>
          <w:t>Shred-It</w:t>
        </w:r>
      </w:hyperlink>
      <w:r w:rsidRPr="00017C2F">
        <w:rPr>
          <w:rFonts w:cs="Segoe UI"/>
        </w:rPr>
        <w:t xml:space="preserve"> shredding &amp; software erasing/destruction</w:t>
      </w:r>
      <w:bookmarkStart w:id="0" w:name="_GoBack"/>
      <w:bookmarkEnd w:id="0"/>
    </w:p>
    <w:sectPr w:rsidR="00017C2F" w:rsidRPr="00017C2F" w:rsidSect="00457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DD5"/>
    <w:multiLevelType w:val="hybridMultilevel"/>
    <w:tmpl w:val="A2B8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C71066"/>
    <w:multiLevelType w:val="hybridMultilevel"/>
    <w:tmpl w:val="DC786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766160"/>
    <w:multiLevelType w:val="hybridMultilevel"/>
    <w:tmpl w:val="DE1EE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27E4D"/>
    <w:multiLevelType w:val="hybridMultilevel"/>
    <w:tmpl w:val="4A66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1E"/>
    <w:rsid w:val="000054C0"/>
    <w:rsid w:val="000058E2"/>
    <w:rsid w:val="00017C2F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0110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0E3C"/>
    <w:rsid w:val="00421A1C"/>
    <w:rsid w:val="00457C1E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C7AA1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5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1E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457C1E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457C1E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45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1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7C1E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457C1E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57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1E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457C1E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457C1E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457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C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1E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7C1E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457C1E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ftc.gov/documents/bus67-how-comply-privacy-consumer-financial-information-rule-gramm-leach-bliley-act" TargetMode="External"/><Relationship Id="rId13" Type="http://schemas.openxmlformats.org/officeDocument/2006/relationships/hyperlink" Target="http://business.ftc.gov/documents/bus58-security-check-reducing-risks-your-computer-systems" TargetMode="External"/><Relationship Id="rId18" Type="http://schemas.openxmlformats.org/officeDocument/2006/relationships/hyperlink" Target="http://www.occ.gov/news-issuances/bulletins/2013/bulletin-2013-29.html" TargetMode="External"/><Relationship Id="rId26" Type="http://schemas.openxmlformats.org/officeDocument/2006/relationships/hyperlink" Target="http://www.ureach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alestatedatashield.com/" TargetMode="External"/><Relationship Id="rId34" Type="http://schemas.openxmlformats.org/officeDocument/2006/relationships/hyperlink" Target="http://www.mcafee.com/us/" TargetMode="External"/><Relationship Id="rId7" Type="http://schemas.openxmlformats.org/officeDocument/2006/relationships/hyperlink" Target="http://www.ncbar.gov" TargetMode="External"/><Relationship Id="rId12" Type="http://schemas.openxmlformats.org/officeDocument/2006/relationships/hyperlink" Target="http://business.ftc.gov/documents/bus54-financial-institutions-and-customer-information-complying-safeguards-rule" TargetMode="External"/><Relationship Id="rId17" Type="http://schemas.openxmlformats.org/officeDocument/2006/relationships/hyperlink" Target="http://www.ecfr.gov" TargetMode="External"/><Relationship Id="rId25" Type="http://schemas.openxmlformats.org/officeDocument/2006/relationships/hyperlink" Target="http://www.ureach.com/login.html" TargetMode="External"/><Relationship Id="rId33" Type="http://schemas.openxmlformats.org/officeDocument/2006/relationships/hyperlink" Target="file:///C:\Users\fergusonn\Documents\TO%20DO%20ASAP\CTNC%20Best%20Practices%2011-16-13\voltag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tc.gov/privacy/privacyinitiatives/PrivacyModelForm_FR.pdf" TargetMode="External"/><Relationship Id="rId20" Type="http://schemas.openxmlformats.org/officeDocument/2006/relationships/hyperlink" Target="http://www.etreiber.com/active/default.asp" TargetMode="External"/><Relationship Id="rId29" Type="http://schemas.openxmlformats.org/officeDocument/2006/relationships/hyperlink" Target="http://www.hp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fcc.gov/cyberplanner" TargetMode="External"/><Relationship Id="rId24" Type="http://schemas.openxmlformats.org/officeDocument/2006/relationships/hyperlink" Target="http://www.ureach.com/login.html" TargetMode="External"/><Relationship Id="rId32" Type="http://schemas.openxmlformats.org/officeDocument/2006/relationships/hyperlink" Target="https://www.ecpurchasing.com/default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pdpconferences.org" TargetMode="External"/><Relationship Id="rId23" Type="http://schemas.openxmlformats.org/officeDocument/2006/relationships/hyperlink" Target="http://www.firstbankingservices.com/escrowaccounting.aspx" TargetMode="External"/><Relationship Id="rId28" Type="http://schemas.openxmlformats.org/officeDocument/2006/relationships/hyperlink" Target="http://www.ironmountain.com/" TargetMode="External"/><Relationship Id="rId36" Type="http://schemas.openxmlformats.org/officeDocument/2006/relationships/hyperlink" Target="file:///C:\Users\fergusonn\Documents\TO%20DO%20ASAP\CTNC%20Best%20Practices%2011-16-13\Shredit.com" TargetMode="External"/><Relationship Id="rId10" Type="http://schemas.openxmlformats.org/officeDocument/2006/relationships/hyperlink" Target="http://business.ftc.gov/privacy-and-security" TargetMode="External"/><Relationship Id="rId19" Type="http://schemas.openxmlformats.org/officeDocument/2006/relationships/hyperlink" Target="http://www.federalreserve.gov/bankinforeg/srletters/sr1319a1.pdf" TargetMode="External"/><Relationship Id="rId31" Type="http://schemas.openxmlformats.org/officeDocument/2006/relationships/hyperlink" Target="http://www.altiusI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ftc.gov/privacy-and-security/data-security" TargetMode="External"/><Relationship Id="rId14" Type="http://schemas.openxmlformats.org/officeDocument/2006/relationships/hyperlink" Target="http://business.ftc.gov/documents/bus57-securing-your-server-shut-door-spam" TargetMode="External"/><Relationship Id="rId22" Type="http://schemas.openxmlformats.org/officeDocument/2006/relationships/hyperlink" Target="https://realestatedatashield.com/" TargetMode="External"/><Relationship Id="rId27" Type="http://schemas.openxmlformats.org/officeDocument/2006/relationships/hyperlink" Target="http://www.datamotion.com" TargetMode="External"/><Relationship Id="rId30" Type="http://schemas.openxmlformats.org/officeDocument/2006/relationships/hyperlink" Target="http://www.valuecontinuity.com" TargetMode="External"/><Relationship Id="rId35" Type="http://schemas.openxmlformats.org/officeDocument/2006/relationships/hyperlink" Target="file:///C:\Users\fergusonn\Documents\TO%20DO%20ASAP\CTNC%20Best%20Practices%2011-16-13\nor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2014-03-17T01:06:00Z</dcterms:created>
  <dcterms:modified xsi:type="dcterms:W3CDTF">2014-03-17T01:11:00Z</dcterms:modified>
</cp:coreProperties>
</file>